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BA2885" w:rsidRDefault="00B8546F" w:rsidP="00E200CB">
      <w:pPr>
        <w:spacing w:after="0" w:line="360" w:lineRule="auto"/>
        <w:jc w:val="center"/>
        <w:rPr>
          <w:rFonts w:ascii="Times New Roman" w:hAnsi="Times New Roman" w:cs="Times New Roman"/>
          <w:b/>
          <w:sz w:val="28"/>
          <w:szCs w:val="28"/>
          <w:u w:val="single"/>
        </w:rPr>
      </w:pPr>
      <w:r>
        <w:rPr>
          <w:rFonts w:ascii="Times New Roman" w:hAnsi="Times New Roman" w:cs="Times New Roman"/>
          <w:b/>
          <w:sz w:val="28"/>
          <w:szCs w:val="28"/>
          <w:u w:val="single"/>
        </w:rPr>
        <w:t xml:space="preserve">FIN 503 </w:t>
      </w:r>
      <w:r w:rsidR="008F2C3B">
        <w:rPr>
          <w:rFonts w:ascii="Times New Roman" w:hAnsi="Times New Roman" w:cs="Times New Roman"/>
          <w:b/>
          <w:sz w:val="28"/>
          <w:szCs w:val="28"/>
          <w:u w:val="single"/>
        </w:rPr>
        <w:t xml:space="preserve">Research </w:t>
      </w:r>
      <w:r w:rsidR="00ED1806">
        <w:rPr>
          <w:rFonts w:ascii="Times New Roman" w:hAnsi="Times New Roman" w:cs="Times New Roman"/>
          <w:b/>
          <w:sz w:val="28"/>
          <w:szCs w:val="28"/>
          <w:u w:val="single"/>
        </w:rPr>
        <w:t>P</w:t>
      </w:r>
      <w:r w:rsidR="008F2C3B">
        <w:rPr>
          <w:rFonts w:ascii="Times New Roman" w:hAnsi="Times New Roman" w:cs="Times New Roman"/>
          <w:b/>
          <w:sz w:val="28"/>
          <w:szCs w:val="28"/>
          <w:u w:val="single"/>
        </w:rPr>
        <w:t>roject</w:t>
      </w:r>
    </w:p>
    <w:p w:rsidR="00E200CB" w:rsidRDefault="00B8546F" w:rsidP="00B8546F">
      <w:pPr>
        <w:spacing w:after="0" w:line="360" w:lineRule="auto"/>
        <w:jc w:val="center"/>
        <w:rPr>
          <w:rFonts w:ascii="Times New Roman" w:hAnsi="Times New Roman" w:cs="Times New Roman"/>
          <w:sz w:val="24"/>
          <w:szCs w:val="24"/>
        </w:rPr>
      </w:pPr>
      <w:r>
        <w:rPr>
          <w:rFonts w:ascii="Times New Roman" w:hAnsi="Times New Roman" w:cs="Times New Roman"/>
          <w:b/>
          <w:sz w:val="28"/>
          <w:szCs w:val="28"/>
          <w:u w:val="single"/>
        </w:rPr>
        <w:t>The submission deadline is 2</w:t>
      </w:r>
      <w:r w:rsidRPr="00B8546F">
        <w:rPr>
          <w:rFonts w:ascii="Times New Roman" w:hAnsi="Times New Roman" w:cs="Times New Roman"/>
          <w:b/>
          <w:sz w:val="28"/>
          <w:szCs w:val="28"/>
          <w:u w:val="single"/>
          <w:vertAlign w:val="superscript"/>
        </w:rPr>
        <w:t>nd</w:t>
      </w:r>
      <w:r>
        <w:rPr>
          <w:rFonts w:ascii="Times New Roman" w:hAnsi="Times New Roman" w:cs="Times New Roman"/>
          <w:b/>
          <w:sz w:val="28"/>
          <w:szCs w:val="28"/>
          <w:u w:val="single"/>
        </w:rPr>
        <w:t xml:space="preserve"> July 2020.</w:t>
      </w:r>
    </w:p>
    <w:p w:rsidR="00B8546F" w:rsidRDefault="00B8546F" w:rsidP="00593069">
      <w:pPr>
        <w:spacing w:after="0" w:line="360" w:lineRule="auto"/>
        <w:jc w:val="both"/>
        <w:rPr>
          <w:rFonts w:ascii="Times New Roman" w:hAnsi="Times New Roman" w:cs="Times New Roman"/>
          <w:sz w:val="24"/>
          <w:szCs w:val="24"/>
        </w:rPr>
      </w:pPr>
    </w:p>
    <w:p w:rsidR="00BA2885" w:rsidRDefault="00BA2885" w:rsidP="00593069">
      <w:pPr>
        <w:spacing w:after="0" w:line="360" w:lineRule="auto"/>
        <w:jc w:val="both"/>
        <w:rPr>
          <w:rFonts w:ascii="Times New Roman" w:hAnsi="Times New Roman" w:cs="Times New Roman"/>
          <w:sz w:val="24"/>
          <w:szCs w:val="24"/>
        </w:rPr>
      </w:pPr>
      <w:r w:rsidRPr="002F53DE">
        <w:rPr>
          <w:rFonts w:ascii="Times New Roman" w:hAnsi="Times New Roman" w:cs="Times New Roman"/>
          <w:sz w:val="24"/>
          <w:szCs w:val="24"/>
        </w:rPr>
        <w:t xml:space="preserve">A number of Saudi-listed companies temporarily closed their branches across the Kingdom, in line with the Kingdom’s efforts to control the spread of coronavirus (COVID-19), data compiled by </w:t>
      </w:r>
      <w:proofErr w:type="spellStart"/>
      <w:r w:rsidRPr="002F53DE">
        <w:rPr>
          <w:rFonts w:ascii="Times New Roman" w:hAnsi="Times New Roman" w:cs="Times New Roman"/>
          <w:sz w:val="24"/>
          <w:szCs w:val="24"/>
        </w:rPr>
        <w:t>Argaam</w:t>
      </w:r>
      <w:proofErr w:type="spellEnd"/>
      <w:r w:rsidRPr="002F53DE">
        <w:rPr>
          <w:rFonts w:ascii="Times New Roman" w:hAnsi="Times New Roman" w:cs="Times New Roman"/>
          <w:sz w:val="24"/>
          <w:szCs w:val="24"/>
        </w:rPr>
        <w:t xml:space="preserve"> showed</w:t>
      </w:r>
      <w:r w:rsidRPr="00785CB5">
        <w:rPr>
          <w:rFonts w:ascii="Times New Roman" w:hAnsi="Times New Roman" w:cs="Times New Roman"/>
          <w:sz w:val="24"/>
          <w:szCs w:val="24"/>
          <w:vertAlign w:val="superscript"/>
        </w:rPr>
        <w:t>*</w:t>
      </w:r>
      <w:r w:rsidRPr="002F53DE">
        <w:rPr>
          <w:rFonts w:ascii="Times New Roman" w:hAnsi="Times New Roman" w:cs="Times New Roman"/>
          <w:sz w:val="24"/>
          <w:szCs w:val="24"/>
        </w:rPr>
        <w:t xml:space="preserve">. </w:t>
      </w:r>
      <w:r w:rsidR="00C34B2A">
        <w:rPr>
          <w:rFonts w:ascii="Times New Roman" w:hAnsi="Times New Roman" w:cs="Times New Roman"/>
          <w:sz w:val="24"/>
          <w:szCs w:val="24"/>
        </w:rPr>
        <w:t>T</w:t>
      </w:r>
      <w:r w:rsidRPr="002F53DE">
        <w:rPr>
          <w:rFonts w:ascii="Times New Roman" w:hAnsi="Times New Roman" w:cs="Times New Roman"/>
          <w:sz w:val="24"/>
          <w:szCs w:val="24"/>
        </w:rPr>
        <w:t>he Kingdom decided to suspend international flights, close malls and supermarkets, and suspend sports and entertainment activities. The decision came in accordance with the preventive and precautionary measures recommended by the competent health authorities in the Kingdom, as part of its efforts to curb the spread of the novel coronavirus (COVID19).</w:t>
      </w:r>
      <w:r>
        <w:rPr>
          <w:rFonts w:ascii="Times New Roman" w:hAnsi="Times New Roman" w:cs="Times New Roman"/>
          <w:sz w:val="24"/>
          <w:szCs w:val="24"/>
        </w:rPr>
        <w:t xml:space="preserve"> </w:t>
      </w:r>
    </w:p>
    <w:p w:rsidR="00BA2885" w:rsidRDefault="006D47E3" w:rsidP="00593069">
      <w:pPr>
        <w:spacing w:after="0" w:line="360" w:lineRule="auto"/>
        <w:jc w:val="both"/>
        <w:rPr>
          <w:rFonts w:ascii="Times New Roman" w:hAnsi="Times New Roman" w:cs="Times New Roman"/>
          <w:sz w:val="24"/>
          <w:szCs w:val="24"/>
        </w:rPr>
      </w:pPr>
      <w:r>
        <w:rPr>
          <w:rFonts w:ascii="Times New Roman" w:hAnsi="Times New Roman" w:cs="Times New Roman"/>
          <w:sz w:val="24"/>
          <w:szCs w:val="24"/>
        </w:rPr>
        <w:t>You</w:t>
      </w:r>
      <w:r w:rsidR="00BA2885">
        <w:rPr>
          <w:rFonts w:ascii="Times New Roman" w:hAnsi="Times New Roman" w:cs="Times New Roman"/>
          <w:sz w:val="24"/>
          <w:szCs w:val="24"/>
        </w:rPr>
        <w:t xml:space="preserve"> are supposed to undertake research work on </w:t>
      </w:r>
      <w:r w:rsidR="00A41D7E">
        <w:rPr>
          <w:rFonts w:ascii="Times New Roman" w:hAnsi="Times New Roman" w:cs="Times New Roman"/>
          <w:sz w:val="24"/>
          <w:szCs w:val="24"/>
        </w:rPr>
        <w:t>an</w:t>
      </w:r>
      <w:r w:rsidR="00785CB5">
        <w:rPr>
          <w:rFonts w:ascii="Times New Roman" w:hAnsi="Times New Roman" w:cs="Times New Roman"/>
          <w:sz w:val="24"/>
          <w:szCs w:val="24"/>
        </w:rPr>
        <w:t xml:space="preserve"> </w:t>
      </w:r>
      <w:r w:rsidR="00636648">
        <w:rPr>
          <w:rFonts w:ascii="Times New Roman" w:hAnsi="Times New Roman" w:cs="Times New Roman"/>
          <w:sz w:val="24"/>
          <w:szCs w:val="24"/>
        </w:rPr>
        <w:t xml:space="preserve">assigned </w:t>
      </w:r>
      <w:r w:rsidR="00BA2885">
        <w:rPr>
          <w:rFonts w:ascii="Times New Roman" w:hAnsi="Times New Roman" w:cs="Times New Roman"/>
          <w:sz w:val="24"/>
          <w:szCs w:val="24"/>
        </w:rPr>
        <w:t>business firm</w:t>
      </w:r>
      <w:r w:rsidR="0005496C">
        <w:rPr>
          <w:rFonts w:ascii="Times New Roman" w:hAnsi="Times New Roman" w:cs="Times New Roman"/>
          <w:sz w:val="24"/>
          <w:szCs w:val="24"/>
        </w:rPr>
        <w:t xml:space="preserve"> (list is given below)</w:t>
      </w:r>
      <w:r w:rsidR="003B2137">
        <w:rPr>
          <w:rFonts w:ascii="Times New Roman" w:hAnsi="Times New Roman" w:cs="Times New Roman"/>
          <w:sz w:val="24"/>
          <w:szCs w:val="24"/>
        </w:rPr>
        <w:t xml:space="preserve"> </w:t>
      </w:r>
      <w:r w:rsidR="00BA2885">
        <w:rPr>
          <w:rFonts w:ascii="Times New Roman" w:hAnsi="Times New Roman" w:cs="Times New Roman"/>
          <w:sz w:val="24"/>
          <w:szCs w:val="24"/>
        </w:rPr>
        <w:t xml:space="preserve">and perform a due diligent exercise of the company in the light of Coronavirus outbreak. </w:t>
      </w:r>
      <w:r>
        <w:rPr>
          <w:rFonts w:ascii="Times New Roman" w:hAnsi="Times New Roman" w:cs="Times New Roman"/>
          <w:sz w:val="24"/>
          <w:szCs w:val="24"/>
        </w:rPr>
        <w:t>You</w:t>
      </w:r>
      <w:r w:rsidR="00593069">
        <w:rPr>
          <w:rFonts w:ascii="Times New Roman" w:hAnsi="Times New Roman" w:cs="Times New Roman"/>
          <w:sz w:val="24"/>
          <w:szCs w:val="24"/>
        </w:rPr>
        <w:t xml:space="preserve"> are </w:t>
      </w:r>
      <w:r w:rsidR="00593069" w:rsidRPr="009411D0">
        <w:rPr>
          <w:rFonts w:ascii="Times New Roman" w:hAnsi="Times New Roman" w:cs="Times New Roman"/>
          <w:sz w:val="24"/>
          <w:szCs w:val="24"/>
        </w:rPr>
        <w:t xml:space="preserve">encouraged to prepare for all scenarios so they can mitigate the impact of sharply decreased sales or rapidly fluctuating demand, a credit or liquidity squeeze, supply chain disruption, commitments to future capital and other expenses that may no longer be appropriate, concerns about the timeliness of financial reporting, financial and other defaults under debt documents, </w:t>
      </w:r>
      <w:r w:rsidR="00BA2885">
        <w:rPr>
          <w:rFonts w:ascii="Times New Roman" w:hAnsi="Times New Roman" w:cs="Times New Roman"/>
          <w:sz w:val="24"/>
          <w:szCs w:val="24"/>
        </w:rPr>
        <w:t>financial and non-financial performance, change management, etc.</w:t>
      </w:r>
    </w:p>
    <w:p w:rsidR="00B3061B" w:rsidRPr="009411D0" w:rsidRDefault="00B3061B" w:rsidP="00B3061B">
      <w:pPr>
        <w:spacing w:after="0" w:line="360" w:lineRule="auto"/>
        <w:jc w:val="both"/>
        <w:rPr>
          <w:rFonts w:ascii="Times New Roman" w:hAnsi="Times New Roman" w:cs="Times New Roman"/>
          <w:sz w:val="24"/>
          <w:szCs w:val="24"/>
        </w:rPr>
      </w:pPr>
      <w:r w:rsidRPr="009411D0">
        <w:rPr>
          <w:rFonts w:ascii="Times New Roman" w:hAnsi="Times New Roman" w:cs="Times New Roman"/>
          <w:sz w:val="24"/>
          <w:szCs w:val="24"/>
        </w:rPr>
        <w:t>In order to create maximum optionality for a company, the following factors, among others, may be applied to devise creative and proactive strategies:</w:t>
      </w:r>
    </w:p>
    <w:p w:rsidR="00B3061B" w:rsidRDefault="00B3061B" w:rsidP="00B3061B">
      <w:pPr>
        <w:spacing w:after="0" w:line="360" w:lineRule="auto"/>
        <w:jc w:val="both"/>
        <w:rPr>
          <w:rFonts w:ascii="Times New Roman" w:hAnsi="Times New Roman" w:cs="Times New Roman"/>
          <w:sz w:val="24"/>
          <w:szCs w:val="24"/>
        </w:rPr>
      </w:pPr>
      <w:r w:rsidRPr="00DF5B87">
        <w:rPr>
          <w:rFonts w:ascii="Times New Roman" w:hAnsi="Times New Roman" w:cs="Times New Roman"/>
          <w:b/>
          <w:i/>
          <w:sz w:val="24"/>
          <w:szCs w:val="24"/>
        </w:rPr>
        <w:t>Going concern analysis</w:t>
      </w:r>
      <w:r w:rsidRPr="00DF5B87">
        <w:rPr>
          <w:rFonts w:ascii="Times New Roman" w:hAnsi="Times New Roman" w:cs="Times New Roman"/>
          <w:i/>
          <w:sz w:val="24"/>
          <w:szCs w:val="24"/>
        </w:rPr>
        <w:t>:</w:t>
      </w:r>
      <w:r w:rsidRPr="009411D0">
        <w:rPr>
          <w:rFonts w:ascii="Times New Roman" w:hAnsi="Times New Roman" w:cs="Times New Roman"/>
          <w:sz w:val="24"/>
          <w:szCs w:val="24"/>
        </w:rPr>
        <w:t xml:space="preserve"> Determine the length of time that a company’s business can continue as a going concern if the market environment were to remain as it is today. Preparing base case, downside and upside models will also help companies realistically plan and prioritize strategic objectives. </w:t>
      </w:r>
    </w:p>
    <w:p w:rsidR="00B3061B" w:rsidRDefault="00B3061B" w:rsidP="00B3061B">
      <w:pPr>
        <w:spacing w:after="0" w:line="360" w:lineRule="auto"/>
        <w:jc w:val="both"/>
        <w:rPr>
          <w:rFonts w:ascii="Times New Roman" w:hAnsi="Times New Roman" w:cs="Times New Roman"/>
          <w:sz w:val="24"/>
          <w:szCs w:val="24"/>
        </w:rPr>
      </w:pPr>
      <w:r w:rsidRPr="00DF5B87">
        <w:rPr>
          <w:rFonts w:ascii="Times New Roman" w:hAnsi="Times New Roman" w:cs="Times New Roman"/>
          <w:b/>
          <w:i/>
          <w:sz w:val="24"/>
          <w:szCs w:val="24"/>
        </w:rPr>
        <w:t>Financing matters</w:t>
      </w:r>
      <w:r w:rsidRPr="00DF5B87">
        <w:rPr>
          <w:rFonts w:ascii="Times New Roman" w:hAnsi="Times New Roman" w:cs="Times New Roman"/>
          <w:i/>
          <w:sz w:val="24"/>
          <w:szCs w:val="24"/>
        </w:rPr>
        <w:t>:</w:t>
      </w:r>
      <w:r w:rsidRPr="009411D0">
        <w:rPr>
          <w:rFonts w:ascii="Times New Roman" w:hAnsi="Times New Roman" w:cs="Times New Roman"/>
          <w:sz w:val="24"/>
          <w:szCs w:val="24"/>
        </w:rPr>
        <w:t xml:space="preserve"> Identify if and when loan defaults are likely to occur and determine if additional cash funding may be available to help bridge the market downturn. </w:t>
      </w:r>
      <w:r>
        <w:rPr>
          <w:rFonts w:ascii="Times New Roman" w:hAnsi="Times New Roman" w:cs="Times New Roman"/>
          <w:sz w:val="24"/>
          <w:szCs w:val="24"/>
        </w:rPr>
        <w:t>C</w:t>
      </w:r>
      <w:r w:rsidRPr="009411D0">
        <w:rPr>
          <w:rFonts w:ascii="Times New Roman" w:hAnsi="Times New Roman" w:cs="Times New Roman"/>
          <w:sz w:val="24"/>
          <w:szCs w:val="24"/>
        </w:rPr>
        <w:t xml:space="preserve">ompanies at risk of near-term default may want to consider proactively contacting lenders to seek waivers under, or amendments to, their debt agreements or deferrals of upcoming principal and/or interest payments. </w:t>
      </w:r>
    </w:p>
    <w:p w:rsidR="00B3061B" w:rsidRDefault="00B3061B" w:rsidP="00B3061B">
      <w:pPr>
        <w:spacing w:after="0" w:line="360" w:lineRule="auto"/>
        <w:jc w:val="both"/>
        <w:rPr>
          <w:rFonts w:ascii="Times New Roman" w:hAnsi="Times New Roman" w:cs="Times New Roman"/>
          <w:sz w:val="24"/>
          <w:szCs w:val="24"/>
        </w:rPr>
      </w:pPr>
      <w:r w:rsidRPr="00DF5B87">
        <w:rPr>
          <w:rFonts w:ascii="Times New Roman" w:hAnsi="Times New Roman" w:cs="Times New Roman"/>
          <w:b/>
          <w:i/>
          <w:sz w:val="24"/>
          <w:szCs w:val="24"/>
        </w:rPr>
        <w:t>Contractual obligations:</w:t>
      </w:r>
      <w:r w:rsidRPr="009411D0">
        <w:rPr>
          <w:rFonts w:ascii="Times New Roman" w:hAnsi="Times New Roman" w:cs="Times New Roman"/>
          <w:sz w:val="24"/>
          <w:szCs w:val="24"/>
        </w:rPr>
        <w:t xml:space="preserve"> Determine if it is appropriate to seek relief from landlords, suppliers or other contractual counterparties. </w:t>
      </w:r>
      <w:r>
        <w:rPr>
          <w:rFonts w:ascii="Times New Roman" w:hAnsi="Times New Roman" w:cs="Times New Roman"/>
          <w:sz w:val="24"/>
          <w:szCs w:val="24"/>
        </w:rPr>
        <w:t>Companies</w:t>
      </w:r>
      <w:r w:rsidRPr="009411D0">
        <w:rPr>
          <w:rFonts w:ascii="Times New Roman" w:hAnsi="Times New Roman" w:cs="Times New Roman"/>
          <w:sz w:val="24"/>
          <w:szCs w:val="24"/>
        </w:rPr>
        <w:t xml:space="preserve"> should consider reviewing all leases, supply agreements and other key contracts to determine if any provisions may be triggered as a result of the COVID-19 pandemic. </w:t>
      </w:r>
    </w:p>
    <w:p w:rsidR="00B3061B" w:rsidRDefault="00B3061B" w:rsidP="00B3061B">
      <w:pPr>
        <w:spacing w:after="0" w:line="360" w:lineRule="auto"/>
        <w:jc w:val="both"/>
        <w:rPr>
          <w:rFonts w:ascii="Times New Roman" w:hAnsi="Times New Roman" w:cs="Times New Roman"/>
          <w:sz w:val="24"/>
          <w:szCs w:val="24"/>
        </w:rPr>
      </w:pPr>
      <w:r w:rsidRPr="00DF5B87">
        <w:rPr>
          <w:rFonts w:ascii="Times New Roman" w:hAnsi="Times New Roman" w:cs="Times New Roman"/>
          <w:b/>
          <w:i/>
          <w:sz w:val="24"/>
          <w:szCs w:val="24"/>
        </w:rPr>
        <w:lastRenderedPageBreak/>
        <w:t>Cost-cutting measures:</w:t>
      </w:r>
      <w:r w:rsidRPr="009411D0">
        <w:rPr>
          <w:rFonts w:ascii="Times New Roman" w:hAnsi="Times New Roman" w:cs="Times New Roman"/>
          <w:sz w:val="24"/>
          <w:szCs w:val="24"/>
        </w:rPr>
        <w:t xml:space="preserve"> Identify cash reduction strategies, including reductions in force, pay reductions, reductions in planned capital expenditures that may be appropriate for the company and its workforce. Faced with sharply declining revenues and cash flows, companies across industries may be facing a cash crunch that requires significant steps to cut expenses. </w:t>
      </w:r>
    </w:p>
    <w:p w:rsidR="00B3061B" w:rsidRPr="009411D0" w:rsidRDefault="00B3061B" w:rsidP="00B3061B">
      <w:pPr>
        <w:spacing w:after="0" w:line="360" w:lineRule="auto"/>
        <w:jc w:val="both"/>
        <w:rPr>
          <w:rFonts w:ascii="Times New Roman" w:hAnsi="Times New Roman" w:cs="Times New Roman"/>
          <w:sz w:val="24"/>
          <w:szCs w:val="24"/>
        </w:rPr>
      </w:pPr>
      <w:r w:rsidRPr="00DF5B87">
        <w:rPr>
          <w:rFonts w:ascii="Times New Roman" w:hAnsi="Times New Roman" w:cs="Times New Roman"/>
          <w:b/>
          <w:i/>
          <w:sz w:val="24"/>
          <w:szCs w:val="24"/>
        </w:rPr>
        <w:t>Third-party analysis</w:t>
      </w:r>
      <w:r w:rsidRPr="00DF5B87">
        <w:rPr>
          <w:rFonts w:ascii="Times New Roman" w:hAnsi="Times New Roman" w:cs="Times New Roman"/>
          <w:i/>
          <w:sz w:val="24"/>
          <w:szCs w:val="24"/>
        </w:rPr>
        <w:t>:</w:t>
      </w:r>
      <w:r w:rsidRPr="009411D0">
        <w:rPr>
          <w:rFonts w:ascii="Times New Roman" w:hAnsi="Times New Roman" w:cs="Times New Roman"/>
          <w:sz w:val="24"/>
          <w:szCs w:val="24"/>
        </w:rPr>
        <w:t xml:space="preserve"> Even if a company appears to have minimal exposure to the COVID-19 crisis, determine whether any customers, suppliers or other stakeholders may experience hardships as a result of the pandemic that could adversely impact the company’s business in the future.</w:t>
      </w:r>
    </w:p>
    <w:p w:rsidR="00B3061B" w:rsidRDefault="00B3061B" w:rsidP="00593069">
      <w:pPr>
        <w:spacing w:after="0" w:line="360" w:lineRule="auto"/>
        <w:jc w:val="both"/>
        <w:rPr>
          <w:rFonts w:ascii="Times New Roman" w:hAnsi="Times New Roman" w:cs="Times New Roman"/>
          <w:b/>
          <w:sz w:val="24"/>
          <w:szCs w:val="24"/>
          <w:u w:val="single"/>
        </w:rPr>
      </w:pPr>
    </w:p>
    <w:p w:rsidR="00BA2885" w:rsidRDefault="00BA2885" w:rsidP="00593069">
      <w:pPr>
        <w:spacing w:after="0" w:line="360" w:lineRule="auto"/>
        <w:jc w:val="both"/>
        <w:rPr>
          <w:rFonts w:ascii="Times New Roman" w:hAnsi="Times New Roman" w:cs="Times New Roman"/>
          <w:b/>
          <w:sz w:val="24"/>
          <w:szCs w:val="24"/>
          <w:u w:val="single"/>
        </w:rPr>
      </w:pPr>
      <w:r>
        <w:rPr>
          <w:rFonts w:ascii="Times New Roman" w:hAnsi="Times New Roman" w:cs="Times New Roman"/>
          <w:b/>
          <w:sz w:val="24"/>
          <w:szCs w:val="24"/>
          <w:u w:val="single"/>
        </w:rPr>
        <w:t xml:space="preserve">The list of </w:t>
      </w:r>
      <w:r w:rsidR="00A41D7E">
        <w:rPr>
          <w:rFonts w:ascii="Times New Roman" w:hAnsi="Times New Roman" w:cs="Times New Roman"/>
          <w:b/>
          <w:sz w:val="24"/>
          <w:szCs w:val="24"/>
          <w:u w:val="single"/>
        </w:rPr>
        <w:t xml:space="preserve">assigned </w:t>
      </w:r>
      <w:r>
        <w:rPr>
          <w:rFonts w:ascii="Times New Roman" w:hAnsi="Times New Roman" w:cs="Times New Roman"/>
          <w:b/>
          <w:sz w:val="24"/>
          <w:szCs w:val="24"/>
          <w:u w:val="single"/>
        </w:rPr>
        <w:t>companies shutting down their branches/showrooms*</w:t>
      </w:r>
    </w:p>
    <w:p w:rsidR="00A41D7E" w:rsidRDefault="00A41D7E" w:rsidP="00593069">
      <w:pPr>
        <w:spacing w:after="0" w:line="360" w:lineRule="auto"/>
        <w:jc w:val="both"/>
        <w:rPr>
          <w:rFonts w:ascii="Times New Roman" w:hAnsi="Times New Roman" w:cs="Times New Roman"/>
          <w:sz w:val="20"/>
          <w:szCs w:val="20"/>
        </w:rPr>
      </w:pPr>
    </w:p>
    <w:tbl>
      <w:tblPr>
        <w:tblW w:w="5996" w:type="dxa"/>
        <w:jc w:val="center"/>
        <w:tblLook w:val="04A0" w:firstRow="1" w:lastRow="0" w:firstColumn="1" w:lastColumn="0" w:noHBand="0" w:noVBand="1"/>
      </w:tblPr>
      <w:tblGrid>
        <w:gridCol w:w="1218"/>
        <w:gridCol w:w="1218"/>
        <w:gridCol w:w="3560"/>
      </w:tblGrid>
      <w:tr w:rsidR="00A41D7E" w:rsidRPr="00A41D7E" w:rsidTr="005B1E91">
        <w:trPr>
          <w:trHeight w:val="540"/>
          <w:jc w:val="center"/>
        </w:trPr>
        <w:tc>
          <w:tcPr>
            <w:tcW w:w="1218" w:type="dxa"/>
            <w:tcBorders>
              <w:top w:val="single" w:sz="4" w:space="0" w:color="auto"/>
              <w:left w:val="single" w:sz="4" w:space="0" w:color="auto"/>
              <w:bottom w:val="single" w:sz="4" w:space="0" w:color="auto"/>
              <w:right w:val="single" w:sz="4" w:space="0" w:color="auto"/>
            </w:tcBorders>
            <w:shd w:val="clear" w:color="000000" w:fill="FFFF00"/>
            <w:vAlign w:val="bottom"/>
            <w:hideMark/>
          </w:tcPr>
          <w:p w:rsidR="00A41D7E" w:rsidRPr="00A41D7E" w:rsidRDefault="00A41D7E" w:rsidP="00A41D7E">
            <w:pPr>
              <w:spacing w:after="0" w:line="240" w:lineRule="auto"/>
              <w:jc w:val="center"/>
              <w:rPr>
                <w:rFonts w:ascii="Arial" w:eastAsia="Times New Roman" w:hAnsi="Arial" w:cs="Arial"/>
                <w:b/>
                <w:bCs/>
                <w:sz w:val="20"/>
                <w:szCs w:val="20"/>
              </w:rPr>
            </w:pPr>
            <w:r w:rsidRPr="00A41D7E">
              <w:rPr>
                <w:rFonts w:ascii="Arial" w:eastAsia="Times New Roman" w:hAnsi="Arial" w:cs="Arial"/>
                <w:b/>
                <w:bCs/>
                <w:sz w:val="20"/>
                <w:szCs w:val="20"/>
              </w:rPr>
              <w:t xml:space="preserve">Student </w:t>
            </w:r>
            <w:r w:rsidRPr="00A41D7E">
              <w:rPr>
                <w:rFonts w:ascii="Arial" w:eastAsia="Times New Roman" w:hAnsi="Arial" w:cs="Arial"/>
                <w:b/>
                <w:bCs/>
                <w:sz w:val="20"/>
                <w:szCs w:val="20"/>
              </w:rPr>
              <w:br/>
              <w:t>ID #</w:t>
            </w:r>
          </w:p>
        </w:tc>
        <w:tc>
          <w:tcPr>
            <w:tcW w:w="1218" w:type="dxa"/>
            <w:tcBorders>
              <w:top w:val="single" w:sz="4" w:space="0" w:color="auto"/>
              <w:left w:val="nil"/>
              <w:bottom w:val="single" w:sz="4" w:space="0" w:color="auto"/>
              <w:right w:val="single" w:sz="4" w:space="0" w:color="auto"/>
            </w:tcBorders>
            <w:shd w:val="clear" w:color="000000" w:fill="FFFF00"/>
            <w:vAlign w:val="bottom"/>
            <w:hideMark/>
          </w:tcPr>
          <w:p w:rsidR="00A41D7E" w:rsidRPr="00A41D7E" w:rsidRDefault="00A41D7E" w:rsidP="00A41D7E">
            <w:pPr>
              <w:spacing w:after="0" w:line="240" w:lineRule="auto"/>
              <w:jc w:val="center"/>
              <w:rPr>
                <w:rFonts w:ascii="Arial" w:eastAsia="Times New Roman" w:hAnsi="Arial" w:cs="Arial"/>
                <w:b/>
                <w:bCs/>
                <w:sz w:val="20"/>
                <w:szCs w:val="20"/>
              </w:rPr>
            </w:pPr>
            <w:r w:rsidRPr="00A41D7E">
              <w:rPr>
                <w:rFonts w:ascii="Arial" w:eastAsia="Times New Roman" w:hAnsi="Arial" w:cs="Arial"/>
                <w:b/>
                <w:bCs/>
                <w:sz w:val="20"/>
                <w:szCs w:val="20"/>
              </w:rPr>
              <w:t>Group member</w:t>
            </w:r>
          </w:p>
        </w:tc>
        <w:tc>
          <w:tcPr>
            <w:tcW w:w="3560" w:type="dxa"/>
            <w:tcBorders>
              <w:top w:val="single" w:sz="4" w:space="0" w:color="auto"/>
              <w:left w:val="nil"/>
              <w:bottom w:val="single" w:sz="4" w:space="0" w:color="auto"/>
              <w:right w:val="single" w:sz="4" w:space="0" w:color="auto"/>
            </w:tcBorders>
            <w:shd w:val="clear" w:color="000000" w:fill="FFFF00"/>
            <w:vAlign w:val="center"/>
            <w:hideMark/>
          </w:tcPr>
          <w:p w:rsidR="00A41D7E" w:rsidRPr="00A41D7E" w:rsidRDefault="00A41D7E" w:rsidP="00A41D7E">
            <w:pPr>
              <w:spacing w:after="0" w:line="240" w:lineRule="auto"/>
              <w:rPr>
                <w:rFonts w:ascii="Arial" w:eastAsia="Times New Roman" w:hAnsi="Arial" w:cs="Arial"/>
                <w:b/>
                <w:bCs/>
                <w:sz w:val="20"/>
                <w:szCs w:val="20"/>
              </w:rPr>
            </w:pPr>
            <w:r w:rsidRPr="00A41D7E">
              <w:rPr>
                <w:rFonts w:ascii="Arial" w:eastAsia="Times New Roman" w:hAnsi="Arial" w:cs="Arial"/>
                <w:b/>
                <w:bCs/>
                <w:sz w:val="20"/>
                <w:szCs w:val="20"/>
              </w:rPr>
              <w:t>Assigned Company</w:t>
            </w:r>
          </w:p>
        </w:tc>
      </w:tr>
      <w:tr w:rsidR="00A41D7E" w:rsidRPr="00A41D7E" w:rsidTr="005B1E91">
        <w:trPr>
          <w:trHeight w:val="324"/>
          <w:jc w:val="center"/>
        </w:trPr>
        <w:tc>
          <w:tcPr>
            <w:tcW w:w="1218" w:type="dxa"/>
            <w:tcBorders>
              <w:top w:val="nil"/>
              <w:left w:val="single" w:sz="4" w:space="0" w:color="auto"/>
              <w:bottom w:val="single" w:sz="4" w:space="0" w:color="auto"/>
              <w:right w:val="single" w:sz="4" w:space="0" w:color="auto"/>
            </w:tcBorders>
            <w:shd w:val="clear" w:color="auto" w:fill="auto"/>
            <w:vAlign w:val="bottom"/>
            <w:hideMark/>
          </w:tcPr>
          <w:p w:rsidR="00A41D7E" w:rsidRPr="00A41D7E" w:rsidRDefault="00A41D7E" w:rsidP="00A41D7E">
            <w:pPr>
              <w:spacing w:after="0" w:line="240" w:lineRule="auto"/>
              <w:jc w:val="right"/>
              <w:rPr>
                <w:rFonts w:ascii="Arial" w:eastAsia="Times New Roman" w:hAnsi="Arial" w:cs="Arial"/>
                <w:sz w:val="20"/>
                <w:szCs w:val="20"/>
              </w:rPr>
            </w:pPr>
            <w:r w:rsidRPr="00A41D7E">
              <w:rPr>
                <w:rFonts w:ascii="Arial" w:eastAsia="Times New Roman" w:hAnsi="Arial" w:cs="Arial"/>
                <w:sz w:val="20"/>
                <w:szCs w:val="20"/>
              </w:rPr>
              <w:t>201811329</w:t>
            </w:r>
          </w:p>
        </w:tc>
        <w:tc>
          <w:tcPr>
            <w:tcW w:w="1218" w:type="dxa"/>
            <w:tcBorders>
              <w:top w:val="nil"/>
              <w:left w:val="nil"/>
              <w:bottom w:val="single" w:sz="4" w:space="0" w:color="auto"/>
              <w:right w:val="single" w:sz="4" w:space="0" w:color="auto"/>
            </w:tcBorders>
            <w:shd w:val="clear" w:color="auto" w:fill="auto"/>
            <w:vAlign w:val="bottom"/>
            <w:hideMark/>
          </w:tcPr>
          <w:p w:rsidR="00A41D7E" w:rsidRPr="00A41D7E" w:rsidRDefault="00A41D7E" w:rsidP="00A41D7E">
            <w:pPr>
              <w:spacing w:after="0" w:line="240" w:lineRule="auto"/>
              <w:jc w:val="center"/>
              <w:rPr>
                <w:rFonts w:ascii="Arial" w:eastAsia="Times New Roman" w:hAnsi="Arial" w:cs="Arial"/>
                <w:sz w:val="20"/>
                <w:szCs w:val="20"/>
              </w:rPr>
            </w:pPr>
            <w:r w:rsidRPr="00A41D7E">
              <w:rPr>
                <w:rFonts w:ascii="Arial" w:eastAsia="Times New Roman" w:hAnsi="Arial" w:cs="Arial"/>
                <w:sz w:val="20"/>
                <w:szCs w:val="20"/>
              </w:rPr>
              <w:t> </w:t>
            </w:r>
          </w:p>
        </w:tc>
        <w:tc>
          <w:tcPr>
            <w:tcW w:w="3560" w:type="dxa"/>
            <w:tcBorders>
              <w:top w:val="nil"/>
              <w:left w:val="nil"/>
              <w:bottom w:val="single" w:sz="4" w:space="0" w:color="auto"/>
              <w:right w:val="single" w:sz="4" w:space="0" w:color="auto"/>
            </w:tcBorders>
            <w:shd w:val="clear" w:color="auto" w:fill="auto"/>
            <w:noWrap/>
            <w:vAlign w:val="center"/>
            <w:hideMark/>
          </w:tcPr>
          <w:p w:rsidR="00A41D7E" w:rsidRPr="00A41D7E" w:rsidRDefault="00A41D7E" w:rsidP="00A41D7E">
            <w:pPr>
              <w:spacing w:after="0" w:line="240" w:lineRule="auto"/>
              <w:jc w:val="both"/>
              <w:rPr>
                <w:rFonts w:ascii="Times New Roman" w:eastAsia="Times New Roman" w:hAnsi="Times New Roman" w:cs="Times New Roman"/>
                <w:sz w:val="24"/>
                <w:szCs w:val="24"/>
              </w:rPr>
            </w:pPr>
            <w:r w:rsidRPr="00A41D7E">
              <w:rPr>
                <w:rFonts w:ascii="Times New Roman" w:eastAsia="Times New Roman" w:hAnsi="Times New Roman" w:cs="Times New Roman"/>
                <w:sz w:val="24"/>
                <w:szCs w:val="24"/>
              </w:rPr>
              <w:t xml:space="preserve">Saudi Ground Services Co. (SGS) </w:t>
            </w:r>
          </w:p>
        </w:tc>
      </w:tr>
    </w:tbl>
    <w:p w:rsidR="00A41D7E" w:rsidRDefault="00A41D7E" w:rsidP="00593069">
      <w:pPr>
        <w:spacing w:after="0" w:line="360" w:lineRule="auto"/>
        <w:jc w:val="both"/>
        <w:rPr>
          <w:rFonts w:ascii="Times New Roman" w:hAnsi="Times New Roman" w:cs="Times New Roman"/>
          <w:sz w:val="20"/>
          <w:szCs w:val="20"/>
        </w:rPr>
      </w:pPr>
    </w:p>
    <w:p w:rsidR="003B2137" w:rsidRDefault="00BA2885" w:rsidP="00593069">
      <w:pPr>
        <w:spacing w:after="0" w:line="360" w:lineRule="auto"/>
        <w:jc w:val="both"/>
        <w:rPr>
          <w:rFonts w:ascii="Times New Roman" w:hAnsi="Times New Roman" w:cs="Times New Roman"/>
          <w:sz w:val="20"/>
          <w:szCs w:val="20"/>
        </w:rPr>
      </w:pPr>
      <w:r w:rsidRPr="00A40477">
        <w:rPr>
          <w:rFonts w:ascii="Times New Roman" w:hAnsi="Times New Roman" w:cs="Times New Roman"/>
          <w:sz w:val="20"/>
          <w:szCs w:val="20"/>
        </w:rPr>
        <w:t xml:space="preserve">*www.argaam.com/en/article/articledetail/id/1357294 </w:t>
      </w:r>
    </w:p>
    <w:sectPr w:rsidR="003B21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BD3826"/>
    <w:multiLevelType w:val="hybridMultilevel"/>
    <w:tmpl w:val="B7386A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9E124D8"/>
    <w:multiLevelType w:val="hybridMultilevel"/>
    <w:tmpl w:val="35F2DBF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E4D5C68"/>
    <w:multiLevelType w:val="hybridMultilevel"/>
    <w:tmpl w:val="7C8812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1A1517E"/>
    <w:multiLevelType w:val="hybridMultilevel"/>
    <w:tmpl w:val="305CA4A2"/>
    <w:lvl w:ilvl="0" w:tplc="910E4BE2">
      <w:start w:val="1"/>
      <w:numFmt w:val="decimal"/>
      <w:lvlText w:val="%1."/>
      <w:lvlJc w:val="left"/>
      <w:pPr>
        <w:ind w:left="720" w:hanging="360"/>
      </w:pPr>
      <w:rPr>
        <w:rFonts w:ascii="Times New Roman" w:hAnsi="Times New Roman" w:hint="default"/>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CB37CDC"/>
    <w:multiLevelType w:val="hybridMultilevel"/>
    <w:tmpl w:val="97901E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73C4238"/>
    <w:multiLevelType w:val="hybridMultilevel"/>
    <w:tmpl w:val="60B683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86B101F"/>
    <w:multiLevelType w:val="hybridMultilevel"/>
    <w:tmpl w:val="2D4AEB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E0052C3"/>
    <w:multiLevelType w:val="hybridMultilevel"/>
    <w:tmpl w:val="04D6D76A"/>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78C272D6"/>
    <w:multiLevelType w:val="hybridMultilevel"/>
    <w:tmpl w:val="0A3882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7"/>
  </w:num>
  <w:num w:numId="3">
    <w:abstractNumId w:val="2"/>
  </w:num>
  <w:num w:numId="4">
    <w:abstractNumId w:val="8"/>
  </w:num>
  <w:num w:numId="5">
    <w:abstractNumId w:val="0"/>
  </w:num>
  <w:num w:numId="6">
    <w:abstractNumId w:val="6"/>
  </w:num>
  <w:num w:numId="7">
    <w:abstractNumId w:val="1"/>
  </w:num>
  <w:num w:numId="8">
    <w:abstractNumId w:val="5"/>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7AD0"/>
    <w:rsid w:val="00053D9F"/>
    <w:rsid w:val="0005496C"/>
    <w:rsid w:val="00111345"/>
    <w:rsid w:val="003278C0"/>
    <w:rsid w:val="00361C21"/>
    <w:rsid w:val="003B2137"/>
    <w:rsid w:val="00583AFD"/>
    <w:rsid w:val="00593069"/>
    <w:rsid w:val="005B1E91"/>
    <w:rsid w:val="005C7EA6"/>
    <w:rsid w:val="00636648"/>
    <w:rsid w:val="006D47E3"/>
    <w:rsid w:val="00785CB5"/>
    <w:rsid w:val="008F2C3B"/>
    <w:rsid w:val="0093196F"/>
    <w:rsid w:val="00A40477"/>
    <w:rsid w:val="00A41D7E"/>
    <w:rsid w:val="00AB7C20"/>
    <w:rsid w:val="00B3061B"/>
    <w:rsid w:val="00B467A2"/>
    <w:rsid w:val="00B8546F"/>
    <w:rsid w:val="00BA2885"/>
    <w:rsid w:val="00C34B2A"/>
    <w:rsid w:val="00CC68CD"/>
    <w:rsid w:val="00CC7AD0"/>
    <w:rsid w:val="00D87BA0"/>
    <w:rsid w:val="00DC7A00"/>
    <w:rsid w:val="00E200CB"/>
    <w:rsid w:val="00E36A9E"/>
    <w:rsid w:val="00ED1806"/>
    <w:rsid w:val="00F9349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244FCC"/>
  <w15:chartTrackingRefBased/>
  <w15:docId w15:val="{F2415A8D-2799-458B-B535-AC92F532D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288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A288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17686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51</TotalTime>
  <Pages>2</Pages>
  <Words>488</Words>
  <Characters>2784</Characters>
  <Application>Microsoft Office Word</Application>
  <DocSecurity>0</DocSecurity>
  <Lines>23</Lines>
  <Paragraphs>6</Paragraphs>
  <ScaleCrop>false</ScaleCrop>
  <Company/>
  <LinksUpToDate>false</LinksUpToDate>
  <CharactersWithSpaces>3266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ADEE</dc:creator>
  <cp:keywords/>
  <dc:description/>
  <cp:lastModifiedBy>YAZEED ALSHOWAIER</cp:lastModifiedBy>
  <cp:revision>32</cp:revision>
  <dcterms:created xsi:type="dcterms:W3CDTF">2020-05-28T08:45:00Z</dcterms:created>
  <dcterms:modified xsi:type="dcterms:W3CDTF">2020-06-23T12:48:00Z</dcterms:modified>
</cp:coreProperties>
</file>